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B0" w:rsidRDefault="009B6F7D" w:rsidP="006203B5">
      <w:pPr>
        <w:spacing w:after="0"/>
      </w:pPr>
      <w:bookmarkStart w:id="0" w:name="_GoBack"/>
      <w:r w:rsidRPr="002611E1">
        <w:rPr>
          <w:b/>
          <w:noProof/>
        </w:rPr>
        <w:drawing>
          <wp:anchor distT="0" distB="0" distL="114300" distR="114300" simplePos="0" relativeHeight="251658240" behindDoc="1" locked="0" layoutInCell="1" allowOverlap="1">
            <wp:simplePos x="0" y="0"/>
            <wp:positionH relativeFrom="margin">
              <wp:posOffset>60960</wp:posOffset>
            </wp:positionH>
            <wp:positionV relativeFrom="margin">
              <wp:posOffset>-259080</wp:posOffset>
            </wp:positionV>
            <wp:extent cx="807720" cy="805815"/>
            <wp:effectExtent l="0" t="0" r="5080" b="6985"/>
            <wp:wrapTight wrapText="bothSides">
              <wp:wrapPolygon edited="0">
                <wp:start x="0" y="0"/>
                <wp:lineTo x="0" y="21106"/>
                <wp:lineTo x="21057" y="21106"/>
                <wp:lineTo x="21057" y="0"/>
                <wp:lineTo x="0" y="0"/>
              </wp:wrapPolygon>
            </wp:wrapTight>
            <wp:docPr id="7" name="Picture 1" descr="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5815"/>
                    </a:xfrm>
                    <a:prstGeom prst="rect">
                      <a:avLst/>
                    </a:prstGeom>
                    <a:noFill/>
                    <a:ln w="9525">
                      <a:noFill/>
                      <a:miter lim="800000"/>
                      <a:headEnd/>
                      <a:tailEnd/>
                    </a:ln>
                  </pic:spPr>
                </pic:pic>
              </a:graphicData>
            </a:graphic>
          </wp:anchor>
        </w:drawing>
      </w:r>
      <w:bookmarkEnd w:id="0"/>
      <w:r w:rsidRPr="00E920CF">
        <w:rPr>
          <w:lang w:val="es-ES"/>
        </w:rPr>
        <w:t xml:space="preserve">Manos abiertas, acceso abierto — Módulos de aprendizaje para el interventor de sordo-ciegos </w:t>
      </w:r>
    </w:p>
    <w:p w:rsidR="00B4657D" w:rsidRDefault="009B6F7D" w:rsidP="007B54FC">
      <w:pPr>
        <w:spacing w:after="400"/>
      </w:pPr>
      <w:r>
        <w:rPr>
          <w:lang w:val="es-ES"/>
        </w:rPr>
        <w:t>Módulo: El sistema sensorial, el cerebro y el aprendizaje</w:t>
      </w:r>
    </w:p>
    <w:p w:rsidR="00D95E35" w:rsidRDefault="009B6F7D" w:rsidP="00D95E35">
      <w:pPr>
        <w:pStyle w:val="Heading1"/>
      </w:pPr>
      <w:r w:rsidRPr="00BB4E3E">
        <w:rPr>
          <w:lang w:val="es-ES"/>
        </w:rPr>
        <w:t>Clasificación primaria de la discapacidad visual en</w:t>
      </w:r>
      <w:r w:rsidR="00405F03">
        <w:rPr>
          <w:lang w:val="es-ES"/>
        </w:rPr>
        <w:t xml:space="preserve"> </w:t>
      </w:r>
      <w:r w:rsidRPr="00BB4E3E">
        <w:rPr>
          <w:lang w:val="es-ES"/>
        </w:rPr>
        <w:t>niños y jóvenes sordo-ciegos</w:t>
      </w:r>
    </w:p>
    <w:p w:rsidR="005A783A" w:rsidRPr="005A783A" w:rsidRDefault="009B6F7D" w:rsidP="005A783A">
      <w:pPr>
        <w:pStyle w:val="Heading2"/>
      </w:pPr>
      <w:r>
        <w:rPr>
          <w:lang w:val="es-ES"/>
        </w:rPr>
        <w:t>Tabla</w:t>
      </w:r>
    </w:p>
    <w:tbl>
      <w:tblPr>
        <w:tblStyle w:val="TableGrid"/>
        <w:tblW w:w="0" w:type="auto"/>
        <w:tblLook w:val="04A0" w:firstRow="1" w:lastRow="0" w:firstColumn="1" w:lastColumn="0" w:noHBand="0" w:noVBand="1"/>
        <w:tblCaption w:val="Primary Classification of Vision Impairment in Children and Youth Who are Deaf-Blind"/>
        <w:tblDescription w:val="This table is for the Percentage of Children Birth through 21. The first column gives the Vision Loss category (Low vision, Legally Blind, etc.) and the last two columns give percentages for 2007 and 2016 respectively. &#10;"/>
      </w:tblPr>
      <w:tblGrid>
        <w:gridCol w:w="4655"/>
        <w:gridCol w:w="2382"/>
        <w:gridCol w:w="2313"/>
      </w:tblGrid>
      <w:tr w:rsidR="006C3EE6" w:rsidTr="00126918">
        <w:trPr>
          <w:trHeight w:val="432"/>
          <w:tblHeader/>
        </w:trPr>
        <w:tc>
          <w:tcPr>
            <w:tcW w:w="4655" w:type="dxa"/>
          </w:tcPr>
          <w:p w:rsidR="00D95E35" w:rsidRPr="00BB4E3E" w:rsidRDefault="009B6F7D" w:rsidP="00635B25">
            <w:pPr>
              <w:rPr>
                <w:rFonts w:cs="Tahoma"/>
                <w:b/>
                <w:sz w:val="28"/>
                <w:szCs w:val="28"/>
              </w:rPr>
            </w:pPr>
            <w:bookmarkStart w:id="1" w:name="Title"/>
            <w:bookmarkEnd w:id="1"/>
            <w:r w:rsidRPr="00BB4E3E">
              <w:rPr>
                <w:rFonts w:cs="Tahoma"/>
                <w:b/>
                <w:sz w:val="28"/>
                <w:szCs w:val="28"/>
                <w:lang w:val="es-ES"/>
              </w:rPr>
              <w:t>Pérdida visual</w:t>
            </w:r>
          </w:p>
        </w:tc>
        <w:tc>
          <w:tcPr>
            <w:tcW w:w="2382" w:type="dxa"/>
          </w:tcPr>
          <w:p w:rsidR="00D95E35" w:rsidRPr="00BB4E3E" w:rsidRDefault="009B6F7D" w:rsidP="00635B25">
            <w:pPr>
              <w:jc w:val="center"/>
              <w:rPr>
                <w:rFonts w:cs="Tahoma"/>
                <w:b/>
                <w:sz w:val="28"/>
                <w:szCs w:val="28"/>
              </w:rPr>
            </w:pPr>
            <w:r w:rsidRPr="00BB4E3E">
              <w:rPr>
                <w:rFonts w:cs="Tahoma"/>
                <w:b/>
                <w:sz w:val="28"/>
                <w:szCs w:val="28"/>
                <w:lang w:val="es-ES"/>
              </w:rPr>
              <w:t>2007</w:t>
            </w:r>
          </w:p>
        </w:tc>
        <w:tc>
          <w:tcPr>
            <w:tcW w:w="2313" w:type="dxa"/>
          </w:tcPr>
          <w:p w:rsidR="00D95E35" w:rsidRPr="00BB4E3E" w:rsidRDefault="009B6F7D" w:rsidP="00635B25">
            <w:pPr>
              <w:jc w:val="center"/>
              <w:rPr>
                <w:rFonts w:cs="Tahoma"/>
                <w:b/>
                <w:sz w:val="28"/>
                <w:szCs w:val="28"/>
              </w:rPr>
            </w:pPr>
            <w:r w:rsidRPr="00BB4E3E">
              <w:rPr>
                <w:rFonts w:cs="Tahoma"/>
                <w:b/>
                <w:sz w:val="28"/>
                <w:szCs w:val="28"/>
                <w:lang w:val="es-ES"/>
              </w:rPr>
              <w:t>2016</w:t>
            </w:r>
          </w:p>
        </w:tc>
      </w:tr>
      <w:tr w:rsidR="006C3EE6" w:rsidTr="00F26A6B">
        <w:trPr>
          <w:trHeight w:val="432"/>
        </w:trPr>
        <w:tc>
          <w:tcPr>
            <w:tcW w:w="4655" w:type="dxa"/>
          </w:tcPr>
          <w:p w:rsidR="00D95E35" w:rsidRPr="00BB4E3E" w:rsidRDefault="009B6F7D" w:rsidP="00635B25">
            <w:pPr>
              <w:rPr>
                <w:rFonts w:cs="Tahoma"/>
                <w:sz w:val="28"/>
                <w:szCs w:val="28"/>
              </w:rPr>
            </w:pPr>
            <w:r w:rsidRPr="00BB4E3E">
              <w:rPr>
                <w:rFonts w:cs="Tahoma"/>
                <w:sz w:val="28"/>
                <w:szCs w:val="28"/>
                <w:lang w:val="es-ES"/>
              </w:rPr>
              <w:t>Baja visión</w:t>
            </w:r>
          </w:p>
        </w:tc>
        <w:tc>
          <w:tcPr>
            <w:tcW w:w="2382" w:type="dxa"/>
          </w:tcPr>
          <w:p w:rsidR="00D95E35" w:rsidRPr="00BB4E3E" w:rsidRDefault="009B6F7D" w:rsidP="00635B25">
            <w:pPr>
              <w:jc w:val="center"/>
              <w:rPr>
                <w:rFonts w:cs="Tahoma"/>
                <w:sz w:val="28"/>
                <w:szCs w:val="28"/>
              </w:rPr>
            </w:pPr>
            <w:r w:rsidRPr="00BB4E3E">
              <w:rPr>
                <w:rFonts w:cs="Tahoma"/>
                <w:sz w:val="28"/>
                <w:szCs w:val="28"/>
                <w:lang w:val="es-ES"/>
              </w:rPr>
              <w:t>27.0%</w:t>
            </w:r>
          </w:p>
        </w:tc>
        <w:tc>
          <w:tcPr>
            <w:tcW w:w="2313" w:type="dxa"/>
          </w:tcPr>
          <w:p w:rsidR="00D95E35" w:rsidRPr="00BB4E3E" w:rsidRDefault="009B6F7D" w:rsidP="00635B25">
            <w:pPr>
              <w:jc w:val="center"/>
              <w:rPr>
                <w:rFonts w:cs="Tahoma"/>
                <w:sz w:val="28"/>
                <w:szCs w:val="28"/>
              </w:rPr>
            </w:pPr>
            <w:r>
              <w:rPr>
                <w:rFonts w:cs="Tahoma"/>
                <w:sz w:val="28"/>
                <w:szCs w:val="28"/>
                <w:lang w:val="es-ES"/>
              </w:rPr>
              <w:t>31.6%</w:t>
            </w:r>
          </w:p>
        </w:tc>
      </w:tr>
      <w:tr w:rsidR="006C3EE6" w:rsidTr="00F26A6B">
        <w:trPr>
          <w:trHeight w:val="432"/>
        </w:trPr>
        <w:tc>
          <w:tcPr>
            <w:tcW w:w="4655" w:type="dxa"/>
          </w:tcPr>
          <w:p w:rsidR="00D95E35" w:rsidRPr="00BB4E3E" w:rsidRDefault="009B6F7D" w:rsidP="00635B25">
            <w:pPr>
              <w:rPr>
                <w:rFonts w:cs="Tahoma"/>
                <w:sz w:val="28"/>
                <w:szCs w:val="28"/>
              </w:rPr>
            </w:pPr>
            <w:r w:rsidRPr="00BB4E3E">
              <w:rPr>
                <w:rFonts w:cs="Tahoma"/>
                <w:sz w:val="28"/>
                <w:szCs w:val="28"/>
                <w:lang w:val="es-ES"/>
              </w:rPr>
              <w:t>Legalmente ciego</w:t>
            </w:r>
          </w:p>
        </w:tc>
        <w:tc>
          <w:tcPr>
            <w:tcW w:w="2382" w:type="dxa"/>
          </w:tcPr>
          <w:p w:rsidR="00D95E35" w:rsidRPr="00BB4E3E" w:rsidRDefault="009B6F7D" w:rsidP="00635B25">
            <w:pPr>
              <w:jc w:val="center"/>
              <w:rPr>
                <w:rFonts w:cs="Tahoma"/>
                <w:sz w:val="28"/>
                <w:szCs w:val="28"/>
              </w:rPr>
            </w:pPr>
            <w:r w:rsidRPr="00BB4E3E">
              <w:rPr>
                <w:rFonts w:cs="Tahoma"/>
                <w:sz w:val="28"/>
                <w:szCs w:val="28"/>
                <w:lang w:val="es-ES"/>
              </w:rPr>
              <w:t>26.4%</w:t>
            </w:r>
          </w:p>
        </w:tc>
        <w:tc>
          <w:tcPr>
            <w:tcW w:w="2313" w:type="dxa"/>
          </w:tcPr>
          <w:p w:rsidR="00D95E35" w:rsidRPr="00BB4E3E" w:rsidRDefault="009B6F7D" w:rsidP="00635B25">
            <w:pPr>
              <w:jc w:val="center"/>
              <w:rPr>
                <w:rFonts w:cs="Tahoma"/>
                <w:sz w:val="28"/>
                <w:szCs w:val="28"/>
              </w:rPr>
            </w:pPr>
            <w:r>
              <w:rPr>
                <w:rFonts w:cs="Tahoma"/>
                <w:sz w:val="28"/>
                <w:szCs w:val="28"/>
                <w:lang w:val="es-ES"/>
              </w:rPr>
              <w:t>25.2%</w:t>
            </w:r>
          </w:p>
        </w:tc>
      </w:tr>
      <w:tr w:rsidR="006C3EE6" w:rsidTr="00F26A6B">
        <w:trPr>
          <w:trHeight w:val="432"/>
        </w:trPr>
        <w:tc>
          <w:tcPr>
            <w:tcW w:w="4655" w:type="dxa"/>
          </w:tcPr>
          <w:p w:rsidR="00D95E35" w:rsidRPr="00BB4E3E" w:rsidRDefault="009B6F7D" w:rsidP="00635B25">
            <w:pPr>
              <w:rPr>
                <w:rFonts w:cs="Tahoma"/>
                <w:sz w:val="28"/>
                <w:szCs w:val="28"/>
              </w:rPr>
            </w:pPr>
            <w:r w:rsidRPr="00BB4E3E">
              <w:rPr>
                <w:rFonts w:cs="Tahoma"/>
                <w:sz w:val="28"/>
                <w:szCs w:val="28"/>
                <w:lang w:val="es-ES"/>
              </w:rPr>
              <w:t>Solo percepción de la luz</w:t>
            </w:r>
          </w:p>
        </w:tc>
        <w:tc>
          <w:tcPr>
            <w:tcW w:w="2382" w:type="dxa"/>
          </w:tcPr>
          <w:p w:rsidR="00D95E35" w:rsidRPr="00BB4E3E" w:rsidRDefault="009B6F7D" w:rsidP="00635B25">
            <w:pPr>
              <w:jc w:val="center"/>
              <w:rPr>
                <w:rFonts w:cs="Tahoma"/>
                <w:sz w:val="28"/>
                <w:szCs w:val="28"/>
              </w:rPr>
            </w:pPr>
            <w:r w:rsidRPr="00BB4E3E">
              <w:rPr>
                <w:rFonts w:cs="Tahoma"/>
                <w:sz w:val="28"/>
                <w:szCs w:val="28"/>
                <w:lang w:val="es-ES"/>
              </w:rPr>
              <w:t>7.4%</w:t>
            </w:r>
          </w:p>
        </w:tc>
        <w:tc>
          <w:tcPr>
            <w:tcW w:w="2313" w:type="dxa"/>
          </w:tcPr>
          <w:p w:rsidR="00D95E35" w:rsidRPr="00BB4E3E" w:rsidRDefault="009B6F7D" w:rsidP="00635B25">
            <w:pPr>
              <w:jc w:val="center"/>
              <w:rPr>
                <w:rFonts w:cs="Tahoma"/>
                <w:sz w:val="28"/>
                <w:szCs w:val="28"/>
              </w:rPr>
            </w:pPr>
            <w:r>
              <w:rPr>
                <w:rFonts w:cs="Tahoma"/>
                <w:sz w:val="28"/>
                <w:szCs w:val="28"/>
                <w:lang w:val="es-ES"/>
              </w:rPr>
              <w:t>5.9%</w:t>
            </w:r>
          </w:p>
        </w:tc>
      </w:tr>
      <w:tr w:rsidR="006C3EE6" w:rsidTr="00F26A6B">
        <w:trPr>
          <w:trHeight w:val="432"/>
        </w:trPr>
        <w:tc>
          <w:tcPr>
            <w:tcW w:w="4655" w:type="dxa"/>
          </w:tcPr>
          <w:p w:rsidR="00D95E35" w:rsidRPr="00BB4E3E" w:rsidRDefault="009B6F7D" w:rsidP="00635B25">
            <w:pPr>
              <w:rPr>
                <w:rFonts w:cs="Tahoma"/>
                <w:sz w:val="28"/>
                <w:szCs w:val="28"/>
              </w:rPr>
            </w:pPr>
            <w:r w:rsidRPr="00BB4E3E">
              <w:rPr>
                <w:rFonts w:cs="Tahoma"/>
                <w:sz w:val="28"/>
                <w:szCs w:val="28"/>
                <w:lang w:val="es-ES"/>
              </w:rPr>
              <w:t>Totalmente ciego</w:t>
            </w:r>
          </w:p>
        </w:tc>
        <w:tc>
          <w:tcPr>
            <w:tcW w:w="2382" w:type="dxa"/>
          </w:tcPr>
          <w:p w:rsidR="00D95E35" w:rsidRPr="00BB4E3E" w:rsidRDefault="009B6F7D" w:rsidP="00635B25">
            <w:pPr>
              <w:jc w:val="center"/>
              <w:rPr>
                <w:rFonts w:cs="Tahoma"/>
                <w:sz w:val="28"/>
                <w:szCs w:val="28"/>
              </w:rPr>
            </w:pPr>
            <w:r w:rsidRPr="00BB4E3E">
              <w:rPr>
                <w:rFonts w:cs="Tahoma"/>
                <w:sz w:val="28"/>
                <w:szCs w:val="28"/>
                <w:lang w:val="es-ES"/>
              </w:rPr>
              <w:t>6.9%</w:t>
            </w:r>
          </w:p>
        </w:tc>
        <w:tc>
          <w:tcPr>
            <w:tcW w:w="2313" w:type="dxa"/>
          </w:tcPr>
          <w:p w:rsidR="00D95E35" w:rsidRPr="00BB4E3E" w:rsidRDefault="009B6F7D" w:rsidP="00635B25">
            <w:pPr>
              <w:jc w:val="center"/>
              <w:rPr>
                <w:rFonts w:cs="Tahoma"/>
                <w:sz w:val="28"/>
                <w:szCs w:val="28"/>
              </w:rPr>
            </w:pPr>
            <w:r>
              <w:rPr>
                <w:rFonts w:cs="Tahoma"/>
                <w:sz w:val="28"/>
                <w:szCs w:val="28"/>
                <w:lang w:val="es-ES"/>
              </w:rPr>
              <w:t>5.1%</w:t>
            </w:r>
          </w:p>
        </w:tc>
      </w:tr>
      <w:tr w:rsidR="006C3EE6" w:rsidTr="00F26A6B">
        <w:trPr>
          <w:trHeight w:val="432"/>
        </w:trPr>
        <w:tc>
          <w:tcPr>
            <w:tcW w:w="4655" w:type="dxa"/>
          </w:tcPr>
          <w:p w:rsidR="00D95E35" w:rsidRPr="00BB4E3E" w:rsidRDefault="009B6F7D" w:rsidP="00635B25">
            <w:pPr>
              <w:rPr>
                <w:rFonts w:cs="Tahoma"/>
                <w:sz w:val="28"/>
                <w:szCs w:val="28"/>
              </w:rPr>
            </w:pPr>
            <w:r w:rsidRPr="00BB4E3E">
              <w:rPr>
                <w:rFonts w:cs="Tahoma"/>
                <w:sz w:val="28"/>
                <w:szCs w:val="28"/>
                <w:lang w:val="es-ES"/>
              </w:rPr>
              <w:t>Pérdida visual progresiva diagnosticada</w:t>
            </w:r>
          </w:p>
        </w:tc>
        <w:tc>
          <w:tcPr>
            <w:tcW w:w="2382" w:type="dxa"/>
          </w:tcPr>
          <w:p w:rsidR="00D95E35" w:rsidRPr="00BB4E3E" w:rsidRDefault="009B6F7D" w:rsidP="00635B25">
            <w:pPr>
              <w:jc w:val="center"/>
              <w:rPr>
                <w:rFonts w:cs="Tahoma"/>
                <w:sz w:val="28"/>
                <w:szCs w:val="28"/>
              </w:rPr>
            </w:pPr>
            <w:r w:rsidRPr="00BB4E3E">
              <w:rPr>
                <w:rFonts w:cs="Tahoma"/>
                <w:sz w:val="28"/>
                <w:szCs w:val="28"/>
                <w:lang w:val="es-ES"/>
              </w:rPr>
              <w:t>3.4%</w:t>
            </w:r>
          </w:p>
        </w:tc>
        <w:tc>
          <w:tcPr>
            <w:tcW w:w="2313" w:type="dxa"/>
          </w:tcPr>
          <w:p w:rsidR="00D95E35" w:rsidRPr="00BB4E3E" w:rsidRDefault="009B6F7D" w:rsidP="00635B25">
            <w:pPr>
              <w:jc w:val="center"/>
              <w:rPr>
                <w:rFonts w:cs="Tahoma"/>
                <w:sz w:val="28"/>
                <w:szCs w:val="28"/>
              </w:rPr>
            </w:pPr>
            <w:r>
              <w:rPr>
                <w:rFonts w:cs="Tahoma"/>
                <w:sz w:val="28"/>
                <w:szCs w:val="28"/>
                <w:lang w:val="es-ES"/>
              </w:rPr>
              <w:t>4.0%</w:t>
            </w:r>
          </w:p>
        </w:tc>
      </w:tr>
      <w:tr w:rsidR="006C3EE6" w:rsidTr="00F26A6B">
        <w:trPr>
          <w:trHeight w:val="432"/>
        </w:trPr>
        <w:tc>
          <w:tcPr>
            <w:tcW w:w="4655" w:type="dxa"/>
          </w:tcPr>
          <w:p w:rsidR="00D95E35" w:rsidRPr="00BB4E3E" w:rsidRDefault="009B6F7D" w:rsidP="00635B25">
            <w:pPr>
              <w:rPr>
                <w:rFonts w:cs="Tahoma"/>
                <w:sz w:val="28"/>
                <w:szCs w:val="28"/>
              </w:rPr>
            </w:pPr>
            <w:r w:rsidRPr="00BB4E3E">
              <w:rPr>
                <w:rFonts w:cs="Tahoma"/>
                <w:sz w:val="28"/>
                <w:szCs w:val="28"/>
                <w:lang w:val="es-ES"/>
              </w:rPr>
              <w:t>Pérdida visual funcional documentada</w:t>
            </w:r>
          </w:p>
        </w:tc>
        <w:tc>
          <w:tcPr>
            <w:tcW w:w="2382" w:type="dxa"/>
          </w:tcPr>
          <w:p w:rsidR="00D95E35" w:rsidRPr="00BB4E3E" w:rsidRDefault="009B6F7D" w:rsidP="00635B25">
            <w:pPr>
              <w:jc w:val="center"/>
              <w:rPr>
                <w:rFonts w:cs="Tahoma"/>
                <w:sz w:val="28"/>
                <w:szCs w:val="28"/>
              </w:rPr>
            </w:pPr>
            <w:r w:rsidRPr="00BB4E3E">
              <w:rPr>
                <w:rFonts w:cs="Tahoma"/>
                <w:sz w:val="28"/>
                <w:szCs w:val="28"/>
                <w:lang w:val="es-ES"/>
              </w:rPr>
              <w:t>14.1%</w:t>
            </w:r>
          </w:p>
        </w:tc>
        <w:tc>
          <w:tcPr>
            <w:tcW w:w="2313" w:type="dxa"/>
          </w:tcPr>
          <w:p w:rsidR="00D95E35" w:rsidRPr="00BB4E3E" w:rsidRDefault="009B6F7D" w:rsidP="00635B25">
            <w:pPr>
              <w:jc w:val="center"/>
              <w:rPr>
                <w:rFonts w:cs="Tahoma"/>
                <w:sz w:val="28"/>
                <w:szCs w:val="28"/>
              </w:rPr>
            </w:pPr>
            <w:r>
              <w:rPr>
                <w:rFonts w:cs="Tahoma"/>
                <w:sz w:val="28"/>
                <w:szCs w:val="28"/>
                <w:lang w:val="es-ES"/>
              </w:rPr>
              <w:t>21.9%</w:t>
            </w:r>
          </w:p>
        </w:tc>
      </w:tr>
      <w:tr w:rsidR="006C3EE6" w:rsidTr="00F26A6B">
        <w:trPr>
          <w:trHeight w:val="432"/>
        </w:trPr>
        <w:tc>
          <w:tcPr>
            <w:tcW w:w="4655" w:type="dxa"/>
          </w:tcPr>
          <w:p w:rsidR="00D95E35" w:rsidRPr="00BB4E3E" w:rsidRDefault="009B6F7D" w:rsidP="00635B25">
            <w:pPr>
              <w:rPr>
                <w:rFonts w:cs="Tahoma"/>
                <w:sz w:val="28"/>
                <w:szCs w:val="28"/>
              </w:rPr>
            </w:pPr>
            <w:r w:rsidRPr="00BB4E3E">
              <w:rPr>
                <w:rFonts w:cs="Tahoma"/>
                <w:sz w:val="28"/>
                <w:szCs w:val="28"/>
                <w:lang w:val="es-ES"/>
              </w:rPr>
              <w:t>Se requieren pruebas adicionales (solo 1 año)</w:t>
            </w:r>
          </w:p>
        </w:tc>
        <w:tc>
          <w:tcPr>
            <w:tcW w:w="2382" w:type="dxa"/>
          </w:tcPr>
          <w:p w:rsidR="00D95E35" w:rsidRPr="00BB4E3E" w:rsidRDefault="009B6F7D" w:rsidP="00635B25">
            <w:pPr>
              <w:jc w:val="center"/>
              <w:rPr>
                <w:rFonts w:cs="Tahoma"/>
                <w:sz w:val="28"/>
                <w:szCs w:val="28"/>
              </w:rPr>
            </w:pPr>
            <w:r w:rsidRPr="00BB4E3E">
              <w:rPr>
                <w:rFonts w:cs="Tahoma"/>
                <w:sz w:val="28"/>
                <w:szCs w:val="28"/>
                <w:lang w:val="es-ES"/>
              </w:rPr>
              <w:t>14.8%</w:t>
            </w:r>
          </w:p>
        </w:tc>
        <w:tc>
          <w:tcPr>
            <w:tcW w:w="2313" w:type="dxa"/>
          </w:tcPr>
          <w:p w:rsidR="00D95E35" w:rsidRPr="00BB4E3E" w:rsidRDefault="009B6F7D" w:rsidP="00635B25">
            <w:pPr>
              <w:jc w:val="center"/>
              <w:rPr>
                <w:rFonts w:cs="Tahoma"/>
                <w:sz w:val="28"/>
                <w:szCs w:val="28"/>
              </w:rPr>
            </w:pPr>
            <w:r w:rsidRPr="00BB4E3E">
              <w:rPr>
                <w:rFonts w:cs="Tahoma"/>
                <w:sz w:val="28"/>
                <w:szCs w:val="28"/>
                <w:lang w:val="es-ES"/>
              </w:rPr>
              <w:t>6.3%</w:t>
            </w:r>
          </w:p>
        </w:tc>
      </w:tr>
      <w:tr w:rsidR="006C3EE6" w:rsidTr="00F26A6B">
        <w:trPr>
          <w:trHeight w:val="432"/>
        </w:trPr>
        <w:tc>
          <w:tcPr>
            <w:tcW w:w="4655" w:type="dxa"/>
          </w:tcPr>
          <w:p w:rsidR="00D95E35" w:rsidRPr="00BB4E3E" w:rsidRDefault="009B6F7D" w:rsidP="00635B25">
            <w:pPr>
              <w:rPr>
                <w:rFonts w:cs="Tahoma"/>
                <w:b/>
                <w:sz w:val="28"/>
                <w:szCs w:val="28"/>
              </w:rPr>
            </w:pPr>
            <w:r w:rsidRPr="00BB4E3E">
              <w:rPr>
                <w:rFonts w:cs="Tahoma"/>
                <w:b/>
                <w:sz w:val="28"/>
                <w:szCs w:val="28"/>
                <w:lang w:val="es-ES"/>
              </w:rPr>
              <w:t>Gran total</w:t>
            </w:r>
          </w:p>
        </w:tc>
        <w:tc>
          <w:tcPr>
            <w:tcW w:w="2382" w:type="dxa"/>
          </w:tcPr>
          <w:p w:rsidR="00D95E35" w:rsidRPr="00BB4E3E" w:rsidRDefault="009B6F7D" w:rsidP="00635B25">
            <w:pPr>
              <w:jc w:val="center"/>
              <w:rPr>
                <w:rFonts w:cs="Tahoma"/>
                <w:b/>
                <w:sz w:val="28"/>
                <w:szCs w:val="28"/>
              </w:rPr>
            </w:pPr>
            <w:r w:rsidRPr="00BB4E3E">
              <w:rPr>
                <w:rFonts w:cs="Tahoma"/>
                <w:b/>
                <w:sz w:val="28"/>
                <w:szCs w:val="28"/>
                <w:lang w:val="es-ES"/>
              </w:rPr>
              <w:t>100.0%</w:t>
            </w:r>
          </w:p>
        </w:tc>
        <w:tc>
          <w:tcPr>
            <w:tcW w:w="2313" w:type="dxa"/>
          </w:tcPr>
          <w:p w:rsidR="00D95E35" w:rsidRPr="00BB4E3E" w:rsidRDefault="009B6F7D" w:rsidP="00635B25">
            <w:pPr>
              <w:jc w:val="center"/>
              <w:rPr>
                <w:rFonts w:cs="Tahoma"/>
                <w:b/>
                <w:sz w:val="28"/>
                <w:szCs w:val="28"/>
              </w:rPr>
            </w:pPr>
            <w:r w:rsidRPr="00BB4E3E">
              <w:rPr>
                <w:rFonts w:cs="Tahoma"/>
                <w:b/>
                <w:sz w:val="28"/>
                <w:szCs w:val="28"/>
                <w:lang w:val="es-ES"/>
              </w:rPr>
              <w:t>100.0%</w:t>
            </w:r>
          </w:p>
        </w:tc>
      </w:tr>
    </w:tbl>
    <w:p w:rsidR="00D95E35" w:rsidRPr="00BB4E3E" w:rsidRDefault="0052371C" w:rsidP="00D95E35">
      <w:pPr>
        <w:rPr>
          <w:rFonts w:cs="Tahoma"/>
          <w:b/>
          <w:sz w:val="28"/>
          <w:szCs w:val="28"/>
        </w:rPr>
      </w:pPr>
    </w:p>
    <w:p w:rsidR="00D95E35" w:rsidRPr="00BB4E3E" w:rsidRDefault="009B6F7D" w:rsidP="005A783A">
      <w:pPr>
        <w:pStyle w:val="Heading2"/>
      </w:pPr>
      <w:r w:rsidRPr="00BB4E3E">
        <w:rPr>
          <w:lang w:val="es-ES"/>
        </w:rPr>
        <w:t>Referencias</w:t>
      </w:r>
    </w:p>
    <w:p w:rsidR="00D95E35" w:rsidRPr="005A783A" w:rsidRDefault="009B6F7D" w:rsidP="005A783A">
      <w:pPr>
        <w:ind w:left="720" w:hanging="720"/>
      </w:pPr>
      <w:r w:rsidRPr="00BB4E3E">
        <w:rPr>
          <w:lang w:val="es-ES"/>
        </w:rPr>
        <w:t xml:space="preserve">NCDB. (2007). El conteo nacional de 2007 de niños y jóvenes sordo-ciegos. Obtenido de: </w:t>
      </w:r>
      <w:hyperlink r:id="rId9" w:tooltip="NCDB - 2007 Census Tables - PDF" w:history="1">
        <w:r w:rsidRPr="005A783A">
          <w:rPr>
            <w:rStyle w:val="Hyperlink"/>
            <w:lang w:val="es-ES"/>
          </w:rPr>
          <w:t>http://www.nationaldb.org/documents/products/2007-Census-Tables.pdf</w:t>
        </w:r>
      </w:hyperlink>
    </w:p>
    <w:p w:rsidR="00977202" w:rsidRPr="00977202" w:rsidRDefault="009B6F7D" w:rsidP="00977202">
      <w:pPr>
        <w:ind w:left="720" w:hanging="720"/>
        <w:rPr>
          <w:rStyle w:val="Emphasis"/>
          <w:i w:val="0"/>
          <w:iCs w:val="0"/>
        </w:rPr>
      </w:pPr>
      <w:r>
        <w:rPr>
          <w:lang w:val="es-ES"/>
        </w:rPr>
        <w:t xml:space="preserve">NCDB. (2017). Informe del conteo nacional de 2016 de niños y jóvenes sordo-ciegos. Obtenido de: </w:t>
      </w:r>
      <w:hyperlink r:id="rId10" w:history="1">
        <w:r w:rsidRPr="00AF4EE9">
          <w:rPr>
            <w:rStyle w:val="Hyperlink"/>
            <w:lang w:val="es-ES"/>
          </w:rPr>
          <w:t>http://nationaldb.org/reports/national-child-count-2016</w:t>
        </w:r>
      </w:hyperlink>
      <w:r>
        <w:rPr>
          <w:lang w:val="es-ES"/>
        </w:rPr>
        <w:t xml:space="preserve"> </w:t>
      </w:r>
    </w:p>
    <w:sectPr w:rsidR="00977202" w:rsidRPr="00977202" w:rsidSect="00472071">
      <w:footerReference w:type="even" r:id="rId11"/>
      <w:footerReference w:type="default" r:id="rId12"/>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1C" w:rsidRDefault="0052371C">
      <w:pPr>
        <w:spacing w:after="0"/>
      </w:pPr>
      <w:r>
        <w:separator/>
      </w:r>
    </w:p>
  </w:endnote>
  <w:endnote w:type="continuationSeparator" w:id="0">
    <w:p w:rsidR="0052371C" w:rsidRDefault="00523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12" w:rsidRDefault="009B6F7D" w:rsidP="007B54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A12" w:rsidRDefault="0052371C" w:rsidP="009C7A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FC" w:rsidRDefault="009B6F7D" w:rsidP="00026120">
    <w:pPr>
      <w:pStyle w:val="Footer"/>
      <w:framePr w:wrap="none" w:vAnchor="text" w:hAnchor="margin" w:xAlign="right" w:y="1"/>
      <w:spacing w:before="200" w:after="0"/>
      <w:rPr>
        <w:rStyle w:val="PageNumber"/>
      </w:rPr>
    </w:pPr>
    <w:r>
      <w:rPr>
        <w:rStyle w:val="PageNumber"/>
      </w:rPr>
      <w:fldChar w:fldCharType="begin"/>
    </w:r>
    <w:r>
      <w:rPr>
        <w:rStyle w:val="PageNumber"/>
      </w:rPr>
      <w:instrText xml:space="preserve">PAGE  </w:instrText>
    </w:r>
    <w:r>
      <w:rPr>
        <w:rStyle w:val="PageNumber"/>
      </w:rPr>
      <w:fldChar w:fldCharType="separate"/>
    </w:r>
    <w:r w:rsidR="00126918">
      <w:rPr>
        <w:rStyle w:val="PageNumber"/>
        <w:noProof/>
      </w:rPr>
      <w:t>1</w:t>
    </w:r>
    <w:r>
      <w:rPr>
        <w:rStyle w:val="PageNumber"/>
      </w:rPr>
      <w:fldChar w:fldCharType="end"/>
    </w:r>
  </w:p>
  <w:p w:rsidR="007B54FC" w:rsidRPr="000B7642" w:rsidRDefault="009B6F7D" w:rsidP="006542DB">
    <w:pPr>
      <w:spacing w:before="360" w:after="0"/>
      <w:rPr>
        <w:rStyle w:val="PageNumber"/>
      </w:rPr>
    </w:pPr>
    <w:r w:rsidRPr="000B7642">
      <w:rPr>
        <w:rStyle w:val="PageNumber"/>
        <w:lang w:val="es-ES"/>
      </w:rPr>
      <w:t>OHOA Noviembre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1C" w:rsidRDefault="0052371C">
      <w:pPr>
        <w:spacing w:after="0"/>
      </w:pPr>
      <w:r>
        <w:separator/>
      </w:r>
    </w:p>
  </w:footnote>
  <w:footnote w:type="continuationSeparator" w:id="0">
    <w:p w:rsidR="0052371C" w:rsidRDefault="005237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68A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6BA"/>
    <w:multiLevelType w:val="hybridMultilevel"/>
    <w:tmpl w:val="431E30B0"/>
    <w:lvl w:ilvl="0" w:tplc="21841644">
      <w:start w:val="1"/>
      <w:numFmt w:val="decimal"/>
      <w:lvlText w:val="%1."/>
      <w:lvlJc w:val="left"/>
      <w:pPr>
        <w:ind w:left="720" w:hanging="360"/>
      </w:pPr>
    </w:lvl>
    <w:lvl w:ilvl="1" w:tplc="A76661A0" w:tentative="1">
      <w:start w:val="1"/>
      <w:numFmt w:val="lowerLetter"/>
      <w:lvlText w:val="%2."/>
      <w:lvlJc w:val="left"/>
      <w:pPr>
        <w:ind w:left="1440" w:hanging="360"/>
      </w:pPr>
    </w:lvl>
    <w:lvl w:ilvl="2" w:tplc="AEE2C292" w:tentative="1">
      <w:start w:val="1"/>
      <w:numFmt w:val="lowerRoman"/>
      <w:lvlText w:val="%3."/>
      <w:lvlJc w:val="right"/>
      <w:pPr>
        <w:ind w:left="2160" w:hanging="180"/>
      </w:pPr>
    </w:lvl>
    <w:lvl w:ilvl="3" w:tplc="F236BF72" w:tentative="1">
      <w:start w:val="1"/>
      <w:numFmt w:val="decimal"/>
      <w:lvlText w:val="%4."/>
      <w:lvlJc w:val="left"/>
      <w:pPr>
        <w:ind w:left="2880" w:hanging="360"/>
      </w:pPr>
    </w:lvl>
    <w:lvl w:ilvl="4" w:tplc="1D3282D2" w:tentative="1">
      <w:start w:val="1"/>
      <w:numFmt w:val="lowerLetter"/>
      <w:lvlText w:val="%5."/>
      <w:lvlJc w:val="left"/>
      <w:pPr>
        <w:ind w:left="3600" w:hanging="360"/>
      </w:pPr>
    </w:lvl>
    <w:lvl w:ilvl="5" w:tplc="2B547AA2" w:tentative="1">
      <w:start w:val="1"/>
      <w:numFmt w:val="lowerRoman"/>
      <w:lvlText w:val="%6."/>
      <w:lvlJc w:val="right"/>
      <w:pPr>
        <w:ind w:left="4320" w:hanging="180"/>
      </w:pPr>
    </w:lvl>
    <w:lvl w:ilvl="6" w:tplc="04709322" w:tentative="1">
      <w:start w:val="1"/>
      <w:numFmt w:val="decimal"/>
      <w:lvlText w:val="%7."/>
      <w:lvlJc w:val="left"/>
      <w:pPr>
        <w:ind w:left="5040" w:hanging="360"/>
      </w:pPr>
    </w:lvl>
    <w:lvl w:ilvl="7" w:tplc="1324CFA2" w:tentative="1">
      <w:start w:val="1"/>
      <w:numFmt w:val="lowerLetter"/>
      <w:lvlText w:val="%8."/>
      <w:lvlJc w:val="left"/>
      <w:pPr>
        <w:ind w:left="5760" w:hanging="360"/>
      </w:pPr>
    </w:lvl>
    <w:lvl w:ilvl="8" w:tplc="0262D88A" w:tentative="1">
      <w:start w:val="1"/>
      <w:numFmt w:val="lowerRoman"/>
      <w:lvlText w:val="%9."/>
      <w:lvlJc w:val="right"/>
      <w:pPr>
        <w:ind w:left="6480" w:hanging="180"/>
      </w:pPr>
    </w:lvl>
  </w:abstractNum>
  <w:abstractNum w:abstractNumId="2" w15:restartNumberingAfterBreak="0">
    <w:nsid w:val="36D11FE7"/>
    <w:multiLevelType w:val="hybridMultilevel"/>
    <w:tmpl w:val="3894E25C"/>
    <w:lvl w:ilvl="0" w:tplc="A76430CA">
      <w:start w:val="1"/>
      <w:numFmt w:val="decimal"/>
      <w:lvlText w:val="%1."/>
      <w:lvlJc w:val="left"/>
      <w:pPr>
        <w:ind w:left="720" w:hanging="360"/>
      </w:pPr>
    </w:lvl>
    <w:lvl w:ilvl="1" w:tplc="327666E4" w:tentative="1">
      <w:start w:val="1"/>
      <w:numFmt w:val="lowerLetter"/>
      <w:lvlText w:val="%2."/>
      <w:lvlJc w:val="left"/>
      <w:pPr>
        <w:ind w:left="1440" w:hanging="360"/>
      </w:pPr>
    </w:lvl>
    <w:lvl w:ilvl="2" w:tplc="C2BC5928" w:tentative="1">
      <w:start w:val="1"/>
      <w:numFmt w:val="lowerRoman"/>
      <w:lvlText w:val="%3."/>
      <w:lvlJc w:val="right"/>
      <w:pPr>
        <w:ind w:left="2160" w:hanging="180"/>
      </w:pPr>
    </w:lvl>
    <w:lvl w:ilvl="3" w:tplc="D0F0373C" w:tentative="1">
      <w:start w:val="1"/>
      <w:numFmt w:val="decimal"/>
      <w:lvlText w:val="%4."/>
      <w:lvlJc w:val="left"/>
      <w:pPr>
        <w:ind w:left="2880" w:hanging="360"/>
      </w:pPr>
    </w:lvl>
    <w:lvl w:ilvl="4" w:tplc="48A08FB4" w:tentative="1">
      <w:start w:val="1"/>
      <w:numFmt w:val="lowerLetter"/>
      <w:lvlText w:val="%5."/>
      <w:lvlJc w:val="left"/>
      <w:pPr>
        <w:ind w:left="3600" w:hanging="360"/>
      </w:pPr>
    </w:lvl>
    <w:lvl w:ilvl="5" w:tplc="721054F0" w:tentative="1">
      <w:start w:val="1"/>
      <w:numFmt w:val="lowerRoman"/>
      <w:lvlText w:val="%6."/>
      <w:lvlJc w:val="right"/>
      <w:pPr>
        <w:ind w:left="4320" w:hanging="180"/>
      </w:pPr>
    </w:lvl>
    <w:lvl w:ilvl="6" w:tplc="E6D299AC" w:tentative="1">
      <w:start w:val="1"/>
      <w:numFmt w:val="decimal"/>
      <w:lvlText w:val="%7."/>
      <w:lvlJc w:val="left"/>
      <w:pPr>
        <w:ind w:left="5040" w:hanging="360"/>
      </w:pPr>
    </w:lvl>
    <w:lvl w:ilvl="7" w:tplc="D44888DE" w:tentative="1">
      <w:start w:val="1"/>
      <w:numFmt w:val="lowerLetter"/>
      <w:lvlText w:val="%8."/>
      <w:lvlJc w:val="left"/>
      <w:pPr>
        <w:ind w:left="5760" w:hanging="360"/>
      </w:pPr>
    </w:lvl>
    <w:lvl w:ilvl="8" w:tplc="4712D520" w:tentative="1">
      <w:start w:val="1"/>
      <w:numFmt w:val="lowerRoman"/>
      <w:lvlText w:val="%9."/>
      <w:lvlJc w:val="right"/>
      <w:pPr>
        <w:ind w:left="6480" w:hanging="180"/>
      </w:pPr>
    </w:lvl>
  </w:abstractNum>
  <w:abstractNum w:abstractNumId="3" w15:restartNumberingAfterBreak="0">
    <w:nsid w:val="3B71284C"/>
    <w:multiLevelType w:val="hybridMultilevel"/>
    <w:tmpl w:val="2D3CAD14"/>
    <w:lvl w:ilvl="0" w:tplc="1C0C7D4E">
      <w:start w:val="1"/>
      <w:numFmt w:val="decimal"/>
      <w:lvlText w:val="%1."/>
      <w:lvlJc w:val="left"/>
      <w:pPr>
        <w:ind w:left="720" w:hanging="360"/>
      </w:pPr>
    </w:lvl>
    <w:lvl w:ilvl="1" w:tplc="AA22598C" w:tentative="1">
      <w:start w:val="1"/>
      <w:numFmt w:val="lowerLetter"/>
      <w:lvlText w:val="%2."/>
      <w:lvlJc w:val="left"/>
      <w:pPr>
        <w:ind w:left="1440" w:hanging="360"/>
      </w:pPr>
    </w:lvl>
    <w:lvl w:ilvl="2" w:tplc="DD546ACA" w:tentative="1">
      <w:start w:val="1"/>
      <w:numFmt w:val="lowerRoman"/>
      <w:lvlText w:val="%3."/>
      <w:lvlJc w:val="right"/>
      <w:pPr>
        <w:ind w:left="2160" w:hanging="180"/>
      </w:pPr>
    </w:lvl>
    <w:lvl w:ilvl="3" w:tplc="41DAC34C" w:tentative="1">
      <w:start w:val="1"/>
      <w:numFmt w:val="decimal"/>
      <w:lvlText w:val="%4."/>
      <w:lvlJc w:val="left"/>
      <w:pPr>
        <w:ind w:left="2880" w:hanging="360"/>
      </w:pPr>
    </w:lvl>
    <w:lvl w:ilvl="4" w:tplc="DA3CCF40" w:tentative="1">
      <w:start w:val="1"/>
      <w:numFmt w:val="lowerLetter"/>
      <w:lvlText w:val="%5."/>
      <w:lvlJc w:val="left"/>
      <w:pPr>
        <w:ind w:left="3600" w:hanging="360"/>
      </w:pPr>
    </w:lvl>
    <w:lvl w:ilvl="5" w:tplc="7170509A" w:tentative="1">
      <w:start w:val="1"/>
      <w:numFmt w:val="lowerRoman"/>
      <w:lvlText w:val="%6."/>
      <w:lvlJc w:val="right"/>
      <w:pPr>
        <w:ind w:left="4320" w:hanging="180"/>
      </w:pPr>
    </w:lvl>
    <w:lvl w:ilvl="6" w:tplc="BC70BA9C" w:tentative="1">
      <w:start w:val="1"/>
      <w:numFmt w:val="decimal"/>
      <w:lvlText w:val="%7."/>
      <w:lvlJc w:val="left"/>
      <w:pPr>
        <w:ind w:left="5040" w:hanging="360"/>
      </w:pPr>
    </w:lvl>
    <w:lvl w:ilvl="7" w:tplc="A84CEA72" w:tentative="1">
      <w:start w:val="1"/>
      <w:numFmt w:val="lowerLetter"/>
      <w:lvlText w:val="%8."/>
      <w:lvlJc w:val="left"/>
      <w:pPr>
        <w:ind w:left="5760" w:hanging="360"/>
      </w:pPr>
    </w:lvl>
    <w:lvl w:ilvl="8" w:tplc="9E744356" w:tentative="1">
      <w:start w:val="1"/>
      <w:numFmt w:val="lowerRoman"/>
      <w:lvlText w:val="%9."/>
      <w:lvlJc w:val="right"/>
      <w:pPr>
        <w:ind w:left="6480" w:hanging="180"/>
      </w:pPr>
    </w:lvl>
  </w:abstractNum>
  <w:abstractNum w:abstractNumId="4" w15:restartNumberingAfterBreak="0">
    <w:nsid w:val="3D650898"/>
    <w:multiLevelType w:val="hybridMultilevel"/>
    <w:tmpl w:val="7C928286"/>
    <w:lvl w:ilvl="0" w:tplc="1C624DE6">
      <w:start w:val="1"/>
      <w:numFmt w:val="decimal"/>
      <w:lvlText w:val="%1."/>
      <w:lvlJc w:val="left"/>
      <w:pPr>
        <w:ind w:left="720" w:hanging="360"/>
      </w:pPr>
      <w:rPr>
        <w:rFonts w:hint="default"/>
      </w:rPr>
    </w:lvl>
    <w:lvl w:ilvl="1" w:tplc="0214F04E" w:tentative="1">
      <w:start w:val="1"/>
      <w:numFmt w:val="lowerLetter"/>
      <w:lvlText w:val="%2."/>
      <w:lvlJc w:val="left"/>
      <w:pPr>
        <w:ind w:left="1440" w:hanging="360"/>
      </w:pPr>
    </w:lvl>
    <w:lvl w:ilvl="2" w:tplc="A5DA3382" w:tentative="1">
      <w:start w:val="1"/>
      <w:numFmt w:val="lowerRoman"/>
      <w:lvlText w:val="%3."/>
      <w:lvlJc w:val="right"/>
      <w:pPr>
        <w:ind w:left="2160" w:hanging="180"/>
      </w:pPr>
    </w:lvl>
    <w:lvl w:ilvl="3" w:tplc="850C92EC" w:tentative="1">
      <w:start w:val="1"/>
      <w:numFmt w:val="decimal"/>
      <w:lvlText w:val="%4."/>
      <w:lvlJc w:val="left"/>
      <w:pPr>
        <w:ind w:left="2880" w:hanging="360"/>
      </w:pPr>
    </w:lvl>
    <w:lvl w:ilvl="4" w:tplc="ED52241C" w:tentative="1">
      <w:start w:val="1"/>
      <w:numFmt w:val="lowerLetter"/>
      <w:lvlText w:val="%5."/>
      <w:lvlJc w:val="left"/>
      <w:pPr>
        <w:ind w:left="3600" w:hanging="360"/>
      </w:pPr>
    </w:lvl>
    <w:lvl w:ilvl="5" w:tplc="CF1875EC" w:tentative="1">
      <w:start w:val="1"/>
      <w:numFmt w:val="lowerRoman"/>
      <w:lvlText w:val="%6."/>
      <w:lvlJc w:val="right"/>
      <w:pPr>
        <w:ind w:left="4320" w:hanging="180"/>
      </w:pPr>
    </w:lvl>
    <w:lvl w:ilvl="6" w:tplc="72CA141E" w:tentative="1">
      <w:start w:val="1"/>
      <w:numFmt w:val="decimal"/>
      <w:lvlText w:val="%7."/>
      <w:lvlJc w:val="left"/>
      <w:pPr>
        <w:ind w:left="5040" w:hanging="360"/>
      </w:pPr>
    </w:lvl>
    <w:lvl w:ilvl="7" w:tplc="45448F4A" w:tentative="1">
      <w:start w:val="1"/>
      <w:numFmt w:val="lowerLetter"/>
      <w:lvlText w:val="%8."/>
      <w:lvlJc w:val="left"/>
      <w:pPr>
        <w:ind w:left="5760" w:hanging="360"/>
      </w:pPr>
    </w:lvl>
    <w:lvl w:ilvl="8" w:tplc="866C77F0" w:tentative="1">
      <w:start w:val="1"/>
      <w:numFmt w:val="lowerRoman"/>
      <w:lvlText w:val="%9."/>
      <w:lvlJc w:val="right"/>
      <w:pPr>
        <w:ind w:left="6480" w:hanging="180"/>
      </w:pPr>
    </w:lvl>
  </w:abstractNum>
  <w:abstractNum w:abstractNumId="5" w15:restartNumberingAfterBreak="0">
    <w:nsid w:val="468947C3"/>
    <w:multiLevelType w:val="hybridMultilevel"/>
    <w:tmpl w:val="78C46012"/>
    <w:lvl w:ilvl="0" w:tplc="CF742FAC">
      <w:start w:val="1"/>
      <w:numFmt w:val="decimal"/>
      <w:lvlText w:val="%1."/>
      <w:lvlJc w:val="left"/>
      <w:pPr>
        <w:ind w:left="720" w:hanging="360"/>
      </w:pPr>
    </w:lvl>
    <w:lvl w:ilvl="1" w:tplc="5CF81ED6" w:tentative="1">
      <w:start w:val="1"/>
      <w:numFmt w:val="lowerLetter"/>
      <w:lvlText w:val="%2."/>
      <w:lvlJc w:val="left"/>
      <w:pPr>
        <w:ind w:left="1440" w:hanging="360"/>
      </w:pPr>
    </w:lvl>
    <w:lvl w:ilvl="2" w:tplc="68ECC1E4" w:tentative="1">
      <w:start w:val="1"/>
      <w:numFmt w:val="lowerRoman"/>
      <w:lvlText w:val="%3."/>
      <w:lvlJc w:val="right"/>
      <w:pPr>
        <w:ind w:left="2160" w:hanging="180"/>
      </w:pPr>
    </w:lvl>
    <w:lvl w:ilvl="3" w:tplc="D194BE82" w:tentative="1">
      <w:start w:val="1"/>
      <w:numFmt w:val="decimal"/>
      <w:lvlText w:val="%4."/>
      <w:lvlJc w:val="left"/>
      <w:pPr>
        <w:ind w:left="2880" w:hanging="360"/>
      </w:pPr>
    </w:lvl>
    <w:lvl w:ilvl="4" w:tplc="23D87F9E" w:tentative="1">
      <w:start w:val="1"/>
      <w:numFmt w:val="lowerLetter"/>
      <w:lvlText w:val="%5."/>
      <w:lvlJc w:val="left"/>
      <w:pPr>
        <w:ind w:left="3600" w:hanging="360"/>
      </w:pPr>
    </w:lvl>
    <w:lvl w:ilvl="5" w:tplc="35D6C972" w:tentative="1">
      <w:start w:val="1"/>
      <w:numFmt w:val="lowerRoman"/>
      <w:lvlText w:val="%6."/>
      <w:lvlJc w:val="right"/>
      <w:pPr>
        <w:ind w:left="4320" w:hanging="180"/>
      </w:pPr>
    </w:lvl>
    <w:lvl w:ilvl="6" w:tplc="B860EF42" w:tentative="1">
      <w:start w:val="1"/>
      <w:numFmt w:val="decimal"/>
      <w:lvlText w:val="%7."/>
      <w:lvlJc w:val="left"/>
      <w:pPr>
        <w:ind w:left="5040" w:hanging="360"/>
      </w:pPr>
    </w:lvl>
    <w:lvl w:ilvl="7" w:tplc="448E80D4" w:tentative="1">
      <w:start w:val="1"/>
      <w:numFmt w:val="lowerLetter"/>
      <w:lvlText w:val="%8."/>
      <w:lvlJc w:val="left"/>
      <w:pPr>
        <w:ind w:left="5760" w:hanging="360"/>
      </w:pPr>
    </w:lvl>
    <w:lvl w:ilvl="8" w:tplc="E3B2A0EE"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2tTQ1MTQ3MLAwNjZT0lEKTi0uzszPAykwrAUAok+JoCwAAAA="/>
  </w:docVars>
  <w:rsids>
    <w:rsidRoot w:val="006C3EE6"/>
    <w:rsid w:val="00126918"/>
    <w:rsid w:val="00405F03"/>
    <w:rsid w:val="0052371C"/>
    <w:rsid w:val="006C3EE6"/>
    <w:rsid w:val="009B6F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ECC49-0DBC-4418-8D00-7A4043F1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71"/>
    <w:pPr>
      <w:spacing w:after="160"/>
    </w:pPr>
    <w:rPr>
      <w:rFonts w:ascii="Tahoma" w:eastAsia="Cambria" w:hAnsi="Tahoma" w:cs="Times New Roman"/>
    </w:rPr>
  </w:style>
  <w:style w:type="paragraph" w:styleId="Heading1">
    <w:name w:val="heading 1"/>
    <w:basedOn w:val="Normal"/>
    <w:next w:val="Normal"/>
    <w:link w:val="Heading1Char"/>
    <w:uiPriority w:val="9"/>
    <w:qFormat/>
    <w:rsid w:val="00FD78CF"/>
    <w:pPr>
      <w:keepNext/>
      <w:keepLines/>
      <w:spacing w:after="120"/>
      <w:jc w:val="center"/>
      <w:outlineLvl w:val="0"/>
    </w:pPr>
    <w:rPr>
      <w:rFonts w:eastAsiaTheme="majorEastAsia" w:cstheme="majorBidi"/>
      <w:b/>
      <w:bCs/>
      <w:color w:val="2E2E57"/>
      <w:sz w:val="36"/>
      <w:szCs w:val="32"/>
    </w:rPr>
  </w:style>
  <w:style w:type="paragraph" w:styleId="Heading2">
    <w:name w:val="heading 2"/>
    <w:basedOn w:val="Normal"/>
    <w:next w:val="Normal"/>
    <w:link w:val="Heading2Char"/>
    <w:autoRedefine/>
    <w:uiPriority w:val="9"/>
    <w:unhideWhenUsed/>
    <w:qFormat/>
    <w:rsid w:val="00B15B57"/>
    <w:pPr>
      <w:spacing w:before="240" w:after="240" w:line="300" w:lineRule="auto"/>
      <w:jc w:val="center"/>
      <w:outlineLvl w:val="1"/>
    </w:pPr>
    <w:rPr>
      <w:b/>
      <w:bCs/>
      <w:color w:val="2E2E57"/>
      <w:sz w:val="28"/>
    </w:rPr>
  </w:style>
  <w:style w:type="paragraph" w:styleId="Heading3">
    <w:name w:val="heading 3"/>
    <w:basedOn w:val="Normal"/>
    <w:next w:val="Normal"/>
    <w:link w:val="Heading3Char"/>
    <w:uiPriority w:val="9"/>
    <w:unhideWhenUsed/>
    <w:qFormat/>
    <w:rsid w:val="000D7066"/>
    <w:pPr>
      <w:keepNext/>
      <w:keepLines/>
      <w:spacing w:before="240"/>
      <w:outlineLvl w:val="2"/>
    </w:pPr>
    <w:rPr>
      <w:rFonts w:eastAsiaTheme="majorEastAsia" w:cstheme="majorBidi"/>
      <w:b/>
      <w:bCs/>
      <w:color w:val="1F3763" w:themeColor="accent1" w:themeShade="7F"/>
    </w:rPr>
  </w:style>
  <w:style w:type="paragraph" w:styleId="Heading4">
    <w:name w:val="heading 4"/>
    <w:basedOn w:val="Normal"/>
    <w:next w:val="Normal"/>
    <w:link w:val="Heading4Char"/>
    <w:uiPriority w:val="9"/>
    <w:unhideWhenUsed/>
    <w:qFormat/>
    <w:rsid w:val="000D7066"/>
    <w:pPr>
      <w:keepNext/>
      <w:keepLines/>
      <w:spacing w:before="240"/>
      <w:outlineLvl w:val="3"/>
    </w:pPr>
    <w:rPr>
      <w:rFonts w:eastAsiaTheme="majorEastAsia" w:cstheme="majorBidi"/>
      <w:b/>
      <w:bCs/>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B57"/>
    <w:rPr>
      <w:rFonts w:ascii="Tahoma" w:eastAsia="Cambria" w:hAnsi="Tahoma" w:cs="Times New Roman"/>
      <w:b/>
      <w:bCs/>
      <w:color w:val="2E2E57"/>
      <w:sz w:val="28"/>
    </w:rPr>
  </w:style>
  <w:style w:type="character" w:customStyle="1" w:styleId="Heading1Char">
    <w:name w:val="Heading 1 Char"/>
    <w:basedOn w:val="DefaultParagraphFont"/>
    <w:link w:val="Heading1"/>
    <w:uiPriority w:val="9"/>
    <w:rsid w:val="00FD78CF"/>
    <w:rPr>
      <w:rFonts w:ascii="Tahoma" w:eastAsiaTheme="majorEastAsia" w:hAnsi="Tahoma" w:cstheme="majorBidi"/>
      <w:b/>
      <w:bCs/>
      <w:color w:val="2E2E57"/>
      <w:sz w:val="36"/>
      <w:szCs w:val="32"/>
    </w:rPr>
  </w:style>
  <w:style w:type="paragraph" w:styleId="Footer">
    <w:name w:val="footer"/>
    <w:basedOn w:val="Normal"/>
    <w:link w:val="FooterChar"/>
    <w:uiPriority w:val="99"/>
    <w:rsid w:val="00415C96"/>
    <w:pPr>
      <w:tabs>
        <w:tab w:val="center" w:pos="4320"/>
        <w:tab w:val="right" w:pos="8640"/>
      </w:tabs>
    </w:pPr>
  </w:style>
  <w:style w:type="character" w:customStyle="1" w:styleId="Heading3Char">
    <w:name w:val="Heading 3 Char"/>
    <w:basedOn w:val="DefaultParagraphFont"/>
    <w:link w:val="Heading3"/>
    <w:uiPriority w:val="9"/>
    <w:rsid w:val="000D7066"/>
    <w:rPr>
      <w:rFonts w:ascii="Tahoma" w:eastAsiaTheme="majorEastAsia" w:hAnsi="Tahoma" w:cstheme="majorBidi"/>
      <w:b/>
      <w:bCs/>
      <w:color w:val="1F3763" w:themeColor="accent1" w:themeShade="7F"/>
    </w:rPr>
  </w:style>
  <w:style w:type="character" w:customStyle="1" w:styleId="Heading4Char">
    <w:name w:val="Heading 4 Char"/>
    <w:basedOn w:val="DefaultParagraphFont"/>
    <w:link w:val="Heading4"/>
    <w:uiPriority w:val="9"/>
    <w:rsid w:val="000D7066"/>
    <w:rPr>
      <w:rFonts w:ascii="Tahoma" w:eastAsiaTheme="majorEastAsia" w:hAnsi="Tahoma" w:cstheme="majorBidi"/>
      <w:b/>
      <w:bCs/>
      <w:i/>
      <w:color w:val="2F5496" w:themeColor="accent1" w:themeShade="BF"/>
    </w:rPr>
  </w:style>
  <w:style w:type="character" w:customStyle="1" w:styleId="FooterChar">
    <w:name w:val="Footer Char"/>
    <w:basedOn w:val="DefaultParagraphFont"/>
    <w:link w:val="Footer"/>
    <w:uiPriority w:val="99"/>
    <w:rsid w:val="00415C96"/>
    <w:rPr>
      <w:rFonts w:ascii="Cambria" w:eastAsia="Cambria" w:hAnsi="Cambria" w:cs="Times New Roman"/>
    </w:rPr>
  </w:style>
  <w:style w:type="character" w:styleId="PageNumber">
    <w:name w:val="page number"/>
    <w:basedOn w:val="DefaultParagraphFont"/>
    <w:rsid w:val="00415C96"/>
  </w:style>
  <w:style w:type="paragraph" w:styleId="Header">
    <w:name w:val="header"/>
    <w:basedOn w:val="Normal"/>
    <w:link w:val="HeaderChar"/>
    <w:rsid w:val="00415C96"/>
    <w:pPr>
      <w:tabs>
        <w:tab w:val="center" w:pos="4320"/>
        <w:tab w:val="right" w:pos="8640"/>
      </w:tabs>
    </w:pPr>
  </w:style>
  <w:style w:type="character" w:customStyle="1" w:styleId="HeaderChar">
    <w:name w:val="Header Char"/>
    <w:basedOn w:val="DefaultParagraphFont"/>
    <w:link w:val="Header"/>
    <w:rsid w:val="00415C96"/>
    <w:rPr>
      <w:rFonts w:ascii="Cambria" w:eastAsia="Cambria" w:hAnsi="Cambria" w:cs="Times New Roman"/>
    </w:rPr>
  </w:style>
  <w:style w:type="paragraph" w:styleId="ListParagraph">
    <w:name w:val="List Paragraph"/>
    <w:basedOn w:val="Normal"/>
    <w:uiPriority w:val="34"/>
    <w:qFormat/>
    <w:rsid w:val="007B54FC"/>
    <w:pPr>
      <w:ind w:left="720"/>
    </w:pPr>
  </w:style>
  <w:style w:type="character" w:styleId="CommentReference">
    <w:name w:val="annotation reference"/>
    <w:basedOn w:val="DefaultParagraphFont"/>
    <w:uiPriority w:val="99"/>
    <w:semiHidden/>
    <w:unhideWhenUsed/>
    <w:rsid w:val="00B932F4"/>
    <w:rPr>
      <w:sz w:val="16"/>
      <w:szCs w:val="16"/>
    </w:rPr>
  </w:style>
  <w:style w:type="paragraph" w:styleId="CommentText">
    <w:name w:val="annotation text"/>
    <w:basedOn w:val="Normal"/>
    <w:link w:val="CommentTextChar"/>
    <w:uiPriority w:val="99"/>
    <w:semiHidden/>
    <w:unhideWhenUsed/>
    <w:rsid w:val="00B932F4"/>
    <w:rPr>
      <w:sz w:val="20"/>
      <w:szCs w:val="20"/>
    </w:rPr>
  </w:style>
  <w:style w:type="character" w:customStyle="1" w:styleId="CommentTextChar">
    <w:name w:val="Comment Text Char"/>
    <w:basedOn w:val="DefaultParagraphFont"/>
    <w:link w:val="CommentText"/>
    <w:uiPriority w:val="99"/>
    <w:semiHidden/>
    <w:rsid w:val="00B932F4"/>
    <w:rPr>
      <w:rFonts w:ascii="Tahoma" w:eastAsia="Cambria" w:hAnsi="Tahoma" w:cs="Times New Roman"/>
      <w:sz w:val="20"/>
      <w:szCs w:val="20"/>
    </w:rPr>
  </w:style>
  <w:style w:type="paragraph" w:styleId="CommentSubject">
    <w:name w:val="annotation subject"/>
    <w:basedOn w:val="CommentText"/>
    <w:next w:val="CommentText"/>
    <w:link w:val="CommentSubjectChar"/>
    <w:uiPriority w:val="99"/>
    <w:semiHidden/>
    <w:unhideWhenUsed/>
    <w:rsid w:val="00B932F4"/>
    <w:rPr>
      <w:b/>
      <w:bCs/>
    </w:rPr>
  </w:style>
  <w:style w:type="character" w:customStyle="1" w:styleId="CommentSubjectChar">
    <w:name w:val="Comment Subject Char"/>
    <w:basedOn w:val="CommentTextChar"/>
    <w:link w:val="CommentSubject"/>
    <w:uiPriority w:val="99"/>
    <w:semiHidden/>
    <w:rsid w:val="00B932F4"/>
    <w:rPr>
      <w:rFonts w:ascii="Tahoma" w:eastAsia="Cambria" w:hAnsi="Tahoma" w:cs="Times New Roman"/>
      <w:b/>
      <w:bCs/>
      <w:sz w:val="20"/>
      <w:szCs w:val="20"/>
    </w:rPr>
  </w:style>
  <w:style w:type="paragraph" w:styleId="BalloonText">
    <w:name w:val="Balloon Text"/>
    <w:basedOn w:val="Normal"/>
    <w:link w:val="BalloonTextChar"/>
    <w:uiPriority w:val="99"/>
    <w:semiHidden/>
    <w:unhideWhenUsed/>
    <w:rsid w:val="00B93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F4"/>
    <w:rPr>
      <w:rFonts w:ascii="Segoe UI" w:eastAsia="Cambria" w:hAnsi="Segoe UI" w:cs="Segoe UI"/>
      <w:sz w:val="18"/>
      <w:szCs w:val="18"/>
    </w:rPr>
  </w:style>
  <w:style w:type="paragraph" w:styleId="DocumentMap">
    <w:name w:val="Document Map"/>
    <w:basedOn w:val="Normal"/>
    <w:link w:val="DocumentMapChar"/>
    <w:uiPriority w:val="99"/>
    <w:semiHidden/>
    <w:unhideWhenUsed/>
    <w:rsid w:val="00C70219"/>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C70219"/>
    <w:rPr>
      <w:rFonts w:ascii="Times New Roman" w:eastAsia="Cambria" w:hAnsi="Times New Roman" w:cs="Times New Roman"/>
    </w:rPr>
  </w:style>
  <w:style w:type="character" w:styleId="Strong">
    <w:name w:val="Strong"/>
    <w:basedOn w:val="DefaultParagraphFont"/>
    <w:uiPriority w:val="22"/>
    <w:qFormat/>
    <w:rsid w:val="00545BCC"/>
    <w:rPr>
      <w:b/>
      <w:bCs/>
    </w:rPr>
  </w:style>
  <w:style w:type="character" w:styleId="Emphasis">
    <w:name w:val="Emphasis"/>
    <w:basedOn w:val="DefaultParagraphFont"/>
    <w:uiPriority w:val="20"/>
    <w:qFormat/>
    <w:rsid w:val="00545BCC"/>
    <w:rPr>
      <w:i/>
      <w:iCs/>
    </w:rPr>
  </w:style>
  <w:style w:type="paragraph" w:styleId="IntenseQuote">
    <w:name w:val="Intense Quote"/>
    <w:basedOn w:val="Normal"/>
    <w:next w:val="Normal"/>
    <w:link w:val="IntenseQuoteChar"/>
    <w:uiPriority w:val="30"/>
    <w:qFormat/>
    <w:rsid w:val="00545B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5BCC"/>
    <w:rPr>
      <w:rFonts w:ascii="Tahoma" w:eastAsia="Cambria" w:hAnsi="Tahoma" w:cs="Times New Roman"/>
      <w:i/>
      <w:iCs/>
      <w:color w:val="4472C4" w:themeColor="accent1"/>
    </w:rPr>
  </w:style>
  <w:style w:type="table" w:styleId="TableGrid">
    <w:name w:val="Table Grid"/>
    <w:basedOn w:val="TableNormal"/>
    <w:uiPriority w:val="59"/>
    <w:rsid w:val="00D95E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tionaldb.org/reports/national-child-count-2016" TargetMode="External"/><Relationship Id="rId4" Type="http://schemas.openxmlformats.org/officeDocument/2006/relationships/settings" Target="settings.xml"/><Relationship Id="rId9" Type="http://schemas.openxmlformats.org/officeDocument/2006/relationships/hyperlink" Target="http://www.nationaldb.org/documents/products/2007-Census-Tables.pdf" TargetMode="External"/><Relationship Id="rId14" Type="http://schemas.openxmlformats.org/officeDocument/2006/relationships/theme" Target="theme/theme1.xml"/></Relationships>
</file>

<file path=word/theme/theme1.xml><?xml version="1.0" encoding="utf-8"?>
<a:theme xmlns:a="http://schemas.openxmlformats.org/drawingml/2006/main" name="Theme-OHOA-Reh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E0CBB4-D505-4073-ACD8-C48713BF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Bicknell</dc:creator>
  <cp:lastModifiedBy>Jordyn Watanabe</cp:lastModifiedBy>
  <cp:revision>13</cp:revision>
  <dcterms:created xsi:type="dcterms:W3CDTF">2017-11-30T18:36:00Z</dcterms:created>
  <dcterms:modified xsi:type="dcterms:W3CDTF">2018-05-02T19:53:00Z</dcterms:modified>
</cp:coreProperties>
</file>